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800" w:after="80"/>
        <w:jc w:val="center"/>
      </w:pPr>
      <w:r>
        <w:drawing>
          <wp:inline xmlns:a="http://schemas.openxmlformats.org/drawingml/2006/main" xmlns:pic="http://schemas.openxmlformats.org/drawingml/2006/picture">
            <wp:extent cx="2520000" cy="10326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03261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EMERCOMSubtitle"/>
      </w:pPr>
      <w:r>
        <w:t>Diagnóstico AS-IS · Resumen Ejecutivo</w:t>
      </w:r>
    </w:p>
    <w:p>
      <w:pPr>
        <w:spacing w:before="0" w:after="0"/>
        <w:pBdr>
          <w:bottom w:val="single" w:sz="12" w:space="2" w:color="52B788"/>
        </w:pBdr>
      </w:pPr>
    </w:p>
    <w:p>
      <w:pPr>
        <w:pStyle w:val="EMERCOMTitle"/>
      </w:pPr>
      <w:r>
        <w:t>DIAGNÓSTICO AS-IS WORKMED</w:t>
      </w:r>
    </w:p>
    <w:p>
      <w:pPr>
        <w:spacing w:before="0" w:after="160"/>
        <w:pBdr>
          <w:bottom w:val="single" w:sz="12" w:space="2" w:color="52B788"/>
        </w:pBdr>
      </w:pPr>
    </w:p>
    <w:p>
      <w:pPr>
        <w:spacing w:after="480"/>
        <w:jc w:val="center"/>
      </w:pPr>
      <w:r>
        <w:rPr>
          <w:rFonts w:ascii="Aptos" w:hAnsi="Aptos" w:cs="Aptos" w:eastAsia="Aptos"/>
          <w:b/>
          <w:color w:val="52B788"/>
          <w:sz w:val="18"/>
          <w:smallCaps w:val="1"/>
        </w:rPr>
        <w:t>RESUMEN EJECUTIVO · v3.0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2551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b/>
                <w:color w:val="1A3D25"/>
                <w:sz w:val="20"/>
              </w:rPr>
              <w:t>Cliente</w:t>
            </w:r>
          </w:p>
        </w:tc>
        <w:tc>
          <w:tcPr>
            <w:tcW w:type="dxa" w:w="6520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Workmed</w:t>
            </w:r>
          </w:p>
        </w:tc>
      </w:tr>
      <w:tr>
        <w:tc>
          <w:tcPr>
            <w:tcW w:type="dxa" w:w="2551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b/>
                <w:color w:val="1A3D25"/>
                <w:sz w:val="20"/>
              </w:rPr>
              <w:t>Período</w:t>
            </w:r>
          </w:p>
        </w:tc>
        <w:tc>
          <w:tcPr>
            <w:tcW w:type="dxa" w:w="6520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2026-04-07 → 2026-04-23</w:t>
            </w:r>
          </w:p>
        </w:tc>
      </w:tr>
      <w:tr>
        <w:tc>
          <w:tcPr>
            <w:tcW w:type="dxa" w:w="2551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b/>
                <w:color w:val="1A3D25"/>
                <w:sz w:val="20"/>
              </w:rPr>
              <w:t>Sesiones</w:t>
            </w:r>
          </w:p>
        </w:tc>
        <w:tc>
          <w:tcPr>
            <w:tcW w:type="dxa" w:w="6520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11 · ~25 horas</w:t>
            </w:r>
          </w:p>
        </w:tc>
      </w:tr>
      <w:tr>
        <w:tc>
          <w:tcPr>
            <w:tcW w:type="dxa" w:w="2551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b/>
                <w:color w:val="1A3D25"/>
                <w:sz w:val="20"/>
              </w:rPr>
              <w:t>Procesos</w:t>
            </w:r>
          </w:p>
        </w:tc>
        <w:tc>
          <w:tcPr>
            <w:tcW w:type="dxa" w:w="6520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7 + 1 anexo TI</w:t>
            </w:r>
          </w:p>
        </w:tc>
      </w:tr>
      <w:tr>
        <w:tc>
          <w:tcPr>
            <w:tcW w:type="dxa" w:w="2551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b/>
                <w:color w:val="1A3D25"/>
                <w:sz w:val="20"/>
              </w:rPr>
              <w:t>Versión</w:t>
            </w:r>
          </w:p>
        </w:tc>
        <w:tc>
          <w:tcPr>
            <w:tcW w:type="dxa" w:w="6520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v3.0</w:t>
            </w:r>
          </w:p>
        </w:tc>
      </w:tr>
      <w:tr>
        <w:tc>
          <w:tcPr>
            <w:tcW w:type="dxa" w:w="2551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b/>
                <w:color w:val="1A3D25"/>
                <w:sz w:val="20"/>
              </w:rPr>
              <w:t>Autor</w:t>
            </w:r>
          </w:p>
        </w:tc>
        <w:tc>
          <w:tcPr>
            <w:tcW w:type="dxa" w:w="6520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Barbarita Lara — EMERCOM SpA</w:t>
            </w:r>
          </w:p>
        </w:tc>
      </w:tr>
      <w:tr>
        <w:tc>
          <w:tcPr>
            <w:tcW w:type="dxa" w:w="2551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b/>
                <w:color w:val="1A3D25"/>
                <w:sz w:val="20"/>
              </w:rPr>
              <w:t>Fecha</w:t>
            </w:r>
          </w:p>
        </w:tc>
        <w:tc>
          <w:tcPr>
            <w:tcW w:type="dxa" w:w="6520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2026-04-28</w:t>
            </w:r>
          </w:p>
        </w:tc>
      </w:tr>
    </w:tbl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val="clear" w:color="auto" w:fill="EBF5F0"/>
            <w:tcBorders>
              <w:top w:val="single" w:sz="6" w:color="D8F3DC"/>
              <w:left w:val="single" w:sz="6" w:color="D8F3DC"/>
              <w:bottom w:val="single" w:sz="6" w:color="D8F3DC"/>
              <w:right w:val="single" w:sz="6" w:color="D8F3DC"/>
            </w:tcBorders>
          </w:tcPr>
          <w:p>
            <w:pPr>
              <w:pStyle w:val="EMERCOMHighlightTitle"/>
            </w:pPr>
            <w:r>
              <w:t>Tesis · TI Sovereignty</w:t>
            </w:r>
          </w:p>
          <w:p>
            <w:pPr>
              <w:pStyle w:val="EMERCOMHighlightBody"/>
            </w:pPr>
            <w:r>
              <w:t>Workmed empodera a su equipo TI con control directo sobre su infraestructura cloud (cuenta AWS Workmed propia), su propia plataforma central (FlowMed 2.0 + Identity Service) y la gobernanza de los datos que circulan por ella (DPO, data stewards, comité de cambios). Dos capas inseparables: control técnico + gobernanza de datos. Antes de cualquier salto a la visión TO-BE (Agentes IA + Orquestador), la prioridad es mitigar dolores en cada proceso. Crecimiento volumétrico y modelos contractuales avanzados emergen como consecuencia natural del saneamiento.</w:t>
            </w:r>
          </w:p>
        </w:tc>
      </w:tr>
    </w:tbl>
    <w:p/>
    <w:p>
      <w:pPr>
        <w:pStyle w:val="Heading1"/>
      </w:pPr>
      <w:r>
        <w:t>1. Hallazgos críticos</w:t>
      </w:r>
    </w:p>
    <w:p>
      <w:pPr>
        <w:pStyle w:val="ListNumber"/>
      </w:pPr>
      <w:r>
        <w:t>Identidad fragmentada del cliente y trabajador en 3-4 sistemas (FlowMed, HubSpot, Defontana, Power Platform) sin sincronización. BD productiva FlowMed clon expuesta y réplica RDS con detalle clínico (diagnósticos, antecedentes, exámenes) incumplen hoy Ley 19.628 (datos sensibles) + Ley 16.744/DS 109 (régimen confidencialidad ocupacional). Secall —gatekeeper técnico real de la BD— procesa esos datos sin contrato de encargo formal verificable. Adicional: bloquean cumplimiento Ley 21.719 (vigencia 1 dic 2026).</w:t>
      </w:r>
    </w:p>
    <w:p>
      <w:pPr>
        <w:pStyle w:val="ListNumber"/>
      </w:pPr>
      <w:r>
        <w:t>Núcleo de la lógica de pricing en script Python local (~2.553 líneas) en GitHub personal. Sin redundancia humana ni gobierno del repo.</w:t>
      </w:r>
    </w:p>
    <w:p>
      <w:pPr>
        <w:pStyle w:val="ListNumber"/>
      </w:pPr>
      <w:r>
        <w:t>Eduardo González gatekeeper único del acceso AWS RDS de FlowMed. Caída de 1 persona = sin acceso a base de valorización ni EDPs nuevos.</w:t>
      </w:r>
    </w:p>
    <w:p>
      <w:pPr>
        <w:pStyle w:val="Heading1"/>
      </w:pPr>
      <w:r>
        <w:t>2. Recomendaciones priorizadas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val="clear" w:color="auto" w:fill="1A3D25"/>
            <w:tcBorders>
              <w:top w:val="single" w:sz="4" w:color="1A3D25"/>
              <w:left w:val="single" w:sz="4" w:color="1A3D25"/>
              <w:bottom w:val="single" w:sz="4" w:color="1A3D25"/>
              <w:right w:val="single" w:sz="4" w:color="1A3D25"/>
            </w:tcBorders>
            <w:vAlign w:val="center"/>
          </w:tcPr>
          <w:p>
            <w:r>
              <w:rPr>
                <w:rFonts w:ascii="Aptos" w:hAnsi="Aptos" w:cs="Aptos" w:eastAsia="Aptos"/>
                <w:b/>
                <w:color w:val="FFFFFF"/>
                <w:sz w:val="20"/>
              </w:rPr>
              <w:t>Cuadrante</w:t>
            </w:r>
          </w:p>
        </w:tc>
        <w:tc>
          <w:tcPr>
            <w:tcW w:type="dxa" w:w="3120"/>
            <w:shd w:val="clear" w:color="auto" w:fill="1A3D25"/>
            <w:tcBorders>
              <w:top w:val="single" w:sz="4" w:color="1A3D25"/>
              <w:left w:val="single" w:sz="4" w:color="1A3D25"/>
              <w:bottom w:val="single" w:sz="4" w:color="1A3D25"/>
              <w:right w:val="single" w:sz="4" w:color="1A3D25"/>
            </w:tcBorders>
            <w:vAlign w:val="center"/>
          </w:tcPr>
          <w:p>
            <w:r>
              <w:rPr>
                <w:rFonts w:ascii="Aptos" w:hAnsi="Aptos" w:cs="Aptos" w:eastAsia="Aptos"/>
                <w:b/>
                <w:color w:val="FFFFFF"/>
                <w:sz w:val="20"/>
              </w:rPr>
              <w:t>Acción</w:t>
            </w:r>
          </w:p>
        </w:tc>
        <w:tc>
          <w:tcPr>
            <w:tcW w:type="dxa" w:w="3120"/>
            <w:shd w:val="clear" w:color="auto" w:fill="1A3D25"/>
            <w:tcBorders>
              <w:top w:val="single" w:sz="4" w:color="1A3D25"/>
              <w:left w:val="single" w:sz="4" w:color="1A3D25"/>
              <w:bottom w:val="single" w:sz="4" w:color="1A3D25"/>
              <w:right w:val="single" w:sz="4" w:color="1A3D25"/>
            </w:tcBorders>
            <w:vAlign w:val="center"/>
          </w:tcPr>
          <w:p>
            <w:r>
              <w:rPr>
                <w:rFonts w:ascii="Aptos" w:hAnsi="Aptos" w:cs="Aptos" w:eastAsia="Aptos"/>
                <w:b/>
                <w:color w:val="FFFFFF"/>
                <w:sz w:val="20"/>
              </w:rPr>
              <w:t>Fase</w:t>
            </w:r>
          </w:p>
        </w:tc>
      </w:tr>
      <w:tr>
        <w:tc>
          <w:tcPr>
            <w:tcW w:type="dxa" w:w="31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A.1</w:t>
            </w:r>
          </w:p>
        </w:tc>
        <w:tc>
          <w:tcPr>
            <w:tcW w:type="dxa" w:w="31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Onboarding AWS Workmed propia + GitHub organización + acceso AWS RDS distribuido</w:t>
            </w:r>
          </w:p>
        </w:tc>
        <w:tc>
          <w:tcPr>
            <w:tcW w:type="dxa" w:w="31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F1 (1-90 días)</w:t>
            </w:r>
          </w:p>
        </w:tc>
      </w:tr>
      <w:tr>
        <w:tc>
          <w:tcPr>
            <w:tcW w:type="dxa" w:w="31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B.1</w:t>
            </w:r>
          </w:p>
        </w:tc>
        <w:tc>
          <w:tcPr>
            <w:tcW w:type="dxa" w:w="31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Identity Service · primer microservicio acotado (worker + client + APIs lectura)</w:t>
            </w:r>
          </w:p>
        </w:tc>
        <w:tc>
          <w:tcPr>
            <w:tcW w:type="dxa" w:w="31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F1-F2 (1-180 días)</w:t>
            </w:r>
          </w:p>
        </w:tc>
      </w:tr>
      <w:tr>
        <w:tc>
          <w:tcPr>
            <w:tcW w:type="dxa" w:w="31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B.2</w:t>
            </w:r>
          </w:p>
        </w:tc>
        <w:tc>
          <w:tcPr>
            <w:tcW w:type="dxa" w:w="31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FlowMed 2.0 sobre AWS Workmed propia con strangler pattern</w:t>
            </w:r>
          </w:p>
        </w:tc>
        <w:tc>
          <w:tcPr>
            <w:tcW w:type="dxa" w:w="31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F2 (91-180 días)</w:t>
            </w:r>
          </w:p>
        </w:tc>
      </w:tr>
      <w:tr>
        <w:tc>
          <w:tcPr>
            <w:tcW w:type="dxa" w:w="31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B.3</w:t>
            </w:r>
          </w:p>
        </w:tc>
        <w:tc>
          <w:tcPr>
            <w:tcW w:type="dxa" w:w="31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Pipeline de digitalización Workmed-side para acreditados independientes</w:t>
            </w:r>
          </w:p>
        </w:tc>
        <w:tc>
          <w:tcPr>
            <w:tcW w:type="dxa" w:w="31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F2-F3</w:t>
            </w:r>
          </w:p>
        </w:tc>
      </w:tr>
      <w:tr>
        <w:tc>
          <w:tcPr>
            <w:tcW w:type="dxa" w:w="31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B.6</w:t>
            </w:r>
          </w:p>
        </w:tc>
        <w:tc>
          <w:tcPr>
            <w:tcW w:type="dxa" w:w="31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Marco de gobernanza de datos (DPO, data stewards, comité de cambios, log auditable)</w:t>
            </w:r>
          </w:p>
        </w:tc>
        <w:tc>
          <w:tcPr>
            <w:tcW w:type="dxa" w:w="31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F1-F2 transversal</w:t>
            </w:r>
          </w:p>
        </w:tc>
      </w:tr>
      <w:tr>
        <w:tc>
          <w:tcPr>
            <w:tcW w:type="dxa" w:w="31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T1</w:t>
            </w:r>
          </w:p>
        </w:tc>
        <w:tc>
          <w:tcPr>
            <w:tcW w:type="dxa" w:w="31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Agentes IA + Orquestador de Transformación Digital · visión TO-BE</w:t>
            </w:r>
          </w:p>
        </w:tc>
        <w:tc>
          <w:tcPr>
            <w:tcW w:type="dxa" w:w="31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F3 (181-365 días)</w:t>
            </w:r>
          </w:p>
        </w:tc>
      </w:tr>
    </w:tbl>
    <w:p/>
    <w:p>
      <w:pPr>
        <w:pStyle w:val="Heading1"/>
      </w:pPr>
      <w:r>
        <w:t>3. Impacto esperado en KPIs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val="clear" w:color="auto" w:fill="1A3D25"/>
            <w:tcBorders>
              <w:top w:val="single" w:sz="4" w:color="1A3D25"/>
              <w:left w:val="single" w:sz="4" w:color="1A3D25"/>
              <w:bottom w:val="single" w:sz="4" w:color="1A3D25"/>
              <w:right w:val="single" w:sz="4" w:color="1A3D25"/>
            </w:tcBorders>
            <w:vAlign w:val="center"/>
          </w:tcPr>
          <w:p>
            <w:r>
              <w:rPr>
                <w:rFonts w:ascii="Aptos" w:hAnsi="Aptos" w:cs="Aptos" w:eastAsia="Aptos"/>
                <w:b/>
                <w:color w:val="FFFFFF"/>
                <w:sz w:val="20"/>
              </w:rPr>
              <w:t>KPI</w:t>
            </w:r>
          </w:p>
        </w:tc>
        <w:tc>
          <w:tcPr>
            <w:tcW w:type="dxa" w:w="3120"/>
            <w:shd w:val="clear" w:color="auto" w:fill="1A3D25"/>
            <w:tcBorders>
              <w:top w:val="single" w:sz="4" w:color="1A3D25"/>
              <w:left w:val="single" w:sz="4" w:color="1A3D25"/>
              <w:bottom w:val="single" w:sz="4" w:color="1A3D25"/>
              <w:right w:val="single" w:sz="4" w:color="1A3D25"/>
            </w:tcBorders>
            <w:vAlign w:val="center"/>
          </w:tcPr>
          <w:p>
            <w:r>
              <w:rPr>
                <w:rFonts w:ascii="Aptos" w:hAnsi="Aptos" w:cs="Aptos" w:eastAsia="Aptos"/>
                <w:b/>
                <w:color w:val="FFFFFF"/>
                <w:sz w:val="20"/>
              </w:rPr>
              <w:t>Cifra actual</w:t>
            </w:r>
          </w:p>
        </w:tc>
        <w:tc>
          <w:tcPr>
            <w:tcW w:type="dxa" w:w="3120"/>
            <w:shd w:val="clear" w:color="auto" w:fill="1A3D25"/>
            <w:tcBorders>
              <w:top w:val="single" w:sz="4" w:color="1A3D25"/>
              <w:left w:val="single" w:sz="4" w:color="1A3D25"/>
              <w:bottom w:val="single" w:sz="4" w:color="1A3D25"/>
              <w:right w:val="single" w:sz="4" w:color="1A3D25"/>
            </w:tcBorders>
            <w:vAlign w:val="center"/>
          </w:tcPr>
          <w:p>
            <w:r>
              <w:rPr>
                <w:rFonts w:ascii="Aptos" w:hAnsi="Aptos" w:cs="Aptos" w:eastAsia="Aptos"/>
                <w:b/>
                <w:color w:val="FFFFFF"/>
                <w:sz w:val="20"/>
              </w:rPr>
              <w:t>Cifra esperada</w:t>
            </w:r>
          </w:p>
        </w:tc>
      </w:tr>
      <w:tr>
        <w:tc>
          <w:tcPr>
            <w:tcW w:type="dxa" w:w="31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% solicitudes Agendamiento que FlowMed lee</w:t>
            </w:r>
          </w:p>
        </w:tc>
        <w:tc>
          <w:tcPr>
            <w:tcW w:type="dxa" w:w="31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~2% (98% manual)</w:t>
            </w:r>
          </w:p>
        </w:tc>
        <w:tc>
          <w:tcPr>
            <w:tcW w:type="dxa" w:w="31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≥80%</w:t>
            </w:r>
          </w:p>
        </w:tc>
      </w:tr>
      <w:tr>
        <w:tc>
          <w:tcPr>
            <w:tcW w:type="dxa" w:w="31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Ciclo validación EDP</w:t>
            </w:r>
          </w:p>
        </w:tc>
        <w:tc>
          <w:tcPr>
            <w:tcW w:type="dxa" w:w="31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5 días/iter · extremos 2 meses</w:t>
            </w:r>
          </w:p>
        </w:tc>
        <w:tc>
          <w:tcPr>
            <w:tcW w:type="dxa" w:w="31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&lt;2 días con visibilidad continua</w:t>
            </w:r>
          </w:p>
        </w:tc>
      </w:tr>
      <w:tr>
        <w:tc>
          <w:tcPr>
            <w:tcW w:type="dxa" w:w="31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% atenciones con digitación manual (acreditados)</w:t>
            </w:r>
          </w:p>
        </w:tc>
        <w:tc>
          <w:tcPr>
            <w:tcW w:type="dxa" w:w="31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40% (~280/día)</w:t>
            </w:r>
          </w:p>
        </w:tc>
        <w:tc>
          <w:tcPr>
            <w:tcW w:type="dxa" w:w="31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0% (digitalización Workmed-side)</w:t>
            </w:r>
          </w:p>
        </w:tc>
      </w:tr>
      <w:tr>
        <w:tc>
          <w:tcPr>
            <w:tcW w:type="dxa" w:w="31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Acceso AWS RDS</w:t>
            </w:r>
          </w:p>
        </w:tc>
        <w:tc>
          <w:tcPr>
            <w:tcW w:type="dxa" w:w="31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1 gatekeeper (Eduardo)</w:t>
            </w:r>
          </w:p>
        </w:tc>
        <w:tc>
          <w:tcPr>
            <w:tcW w:type="dxa" w:w="31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Distribuido (RP formal Mes 1)</w:t>
            </w:r>
          </w:p>
        </w:tc>
      </w:tr>
      <w:tr>
        <w:tc>
          <w:tcPr>
            <w:tcW w:type="dxa" w:w="31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DPO designado · marco gobernanza</w:t>
            </w:r>
          </w:p>
        </w:tc>
        <w:tc>
          <w:tcPr>
            <w:tcW w:type="dxa" w:w="31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No (incumplimiento Ley 21.719)</w:t>
            </w:r>
          </w:p>
        </w:tc>
        <w:tc>
          <w:tcPr>
            <w:tcW w:type="dxa" w:w="31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Sí (compliance por arquitectura)</w:t>
            </w:r>
          </w:p>
        </w:tc>
      </w:tr>
    </w:tbl>
    <w:p/>
    <w:p>
      <w:pPr>
        <w:pStyle w:val="Heading1"/>
      </w:pPr>
      <w:r>
        <w:t>4. Carta Gantt · 12 meses</w:t>
      </w:r>
    </w:p>
    <w:p>
      <w:pPr>
        <w:pStyle w:val="EMERCOMSubsection"/>
      </w:pPr>
      <w:r>
        <w:rPr>
          <w:rFonts w:ascii="Aptos" w:hAnsi="Aptos" w:cs="Aptos" w:eastAsia="Aptos"/>
          <w:b/>
          <w:color w:val="52B788"/>
          <w:sz w:val="18"/>
          <w:smallCaps w:val="1"/>
        </w:rPr>
        <w:t>FASE 1 · 1-90 DÍAS · SANEAMIENTO + SOVEREIGNTY FOUNDATIONS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  <w:shd w:val="clear" w:color="auto" w:fill="1A3D25"/>
            <w:tcBorders>
              <w:top w:val="single" w:sz="4" w:color="1A3D25"/>
              <w:left w:val="single" w:sz="4" w:color="1A3D25"/>
              <w:bottom w:val="single" w:sz="4" w:color="1A3D25"/>
              <w:right w:val="single" w:sz="4" w:color="1A3D25"/>
            </w:tcBorders>
            <w:vAlign w:val="center"/>
          </w:tcPr>
          <w:p>
            <w:r>
              <w:rPr>
                <w:rFonts w:ascii="Aptos" w:hAnsi="Aptos" w:cs="Aptos" w:eastAsia="Aptos"/>
                <w:b/>
                <w:color w:val="FFFFFF"/>
                <w:sz w:val="20"/>
              </w:rPr>
              <w:t>Acción</w:t>
            </w:r>
          </w:p>
        </w:tc>
        <w:tc>
          <w:tcPr>
            <w:tcW w:type="dxa" w:w="720"/>
            <w:shd w:val="clear" w:color="auto" w:fill="1A3D25"/>
            <w:tcBorders>
              <w:top w:val="single" w:sz="4" w:color="1A3D25"/>
              <w:left w:val="single" w:sz="4" w:color="1A3D25"/>
              <w:bottom w:val="single" w:sz="4" w:color="1A3D25"/>
              <w:right w:val="single" w:sz="4" w:color="1A3D25"/>
            </w:tcBorders>
            <w:vAlign w:val="center"/>
          </w:tcPr>
          <w:p>
            <w:r>
              <w:rPr>
                <w:rFonts w:ascii="Aptos" w:hAnsi="Aptos" w:cs="Aptos" w:eastAsia="Aptos"/>
                <w:b/>
                <w:color w:val="FFFFFF"/>
                <w:sz w:val="20"/>
              </w:rPr>
              <w:t>M1</w:t>
            </w:r>
          </w:p>
        </w:tc>
        <w:tc>
          <w:tcPr>
            <w:tcW w:type="dxa" w:w="720"/>
            <w:shd w:val="clear" w:color="auto" w:fill="1A3D25"/>
            <w:tcBorders>
              <w:top w:val="single" w:sz="4" w:color="1A3D25"/>
              <w:left w:val="single" w:sz="4" w:color="1A3D25"/>
              <w:bottom w:val="single" w:sz="4" w:color="1A3D25"/>
              <w:right w:val="single" w:sz="4" w:color="1A3D25"/>
            </w:tcBorders>
            <w:vAlign w:val="center"/>
          </w:tcPr>
          <w:p>
            <w:r>
              <w:rPr>
                <w:rFonts w:ascii="Aptos" w:hAnsi="Aptos" w:cs="Aptos" w:eastAsia="Aptos"/>
                <w:b/>
                <w:color w:val="FFFFFF"/>
                <w:sz w:val="20"/>
              </w:rPr>
              <w:t>M2</w:t>
            </w:r>
          </w:p>
        </w:tc>
        <w:tc>
          <w:tcPr>
            <w:tcW w:type="dxa" w:w="720"/>
            <w:shd w:val="clear" w:color="auto" w:fill="1A3D25"/>
            <w:tcBorders>
              <w:top w:val="single" w:sz="4" w:color="1A3D25"/>
              <w:left w:val="single" w:sz="4" w:color="1A3D25"/>
              <w:bottom w:val="single" w:sz="4" w:color="1A3D25"/>
              <w:right w:val="single" w:sz="4" w:color="1A3D25"/>
            </w:tcBorders>
            <w:vAlign w:val="center"/>
          </w:tcPr>
          <w:p>
            <w:r>
              <w:rPr>
                <w:rFonts w:ascii="Aptos" w:hAnsi="Aptos" w:cs="Aptos" w:eastAsia="Aptos"/>
                <w:b/>
                <w:color w:val="FFFFFF"/>
                <w:sz w:val="20"/>
              </w:rPr>
              <w:t>M3</w:t>
            </w:r>
          </w:p>
        </w:tc>
        <w:tc>
          <w:tcPr>
            <w:tcW w:type="dxa" w:w="720"/>
            <w:shd w:val="clear" w:color="auto" w:fill="1A3D25"/>
            <w:tcBorders>
              <w:top w:val="single" w:sz="4" w:color="1A3D25"/>
              <w:left w:val="single" w:sz="4" w:color="1A3D25"/>
              <w:bottom w:val="single" w:sz="4" w:color="1A3D25"/>
              <w:right w:val="single" w:sz="4" w:color="1A3D25"/>
            </w:tcBorders>
            <w:vAlign w:val="center"/>
          </w:tcPr>
          <w:p>
            <w:r>
              <w:rPr>
                <w:rFonts w:ascii="Aptos" w:hAnsi="Aptos" w:cs="Aptos" w:eastAsia="Aptos"/>
                <w:b/>
                <w:color w:val="FFFFFF"/>
                <w:sz w:val="20"/>
              </w:rPr>
              <w:t>M4</w:t>
            </w:r>
          </w:p>
        </w:tc>
        <w:tc>
          <w:tcPr>
            <w:tcW w:type="dxa" w:w="720"/>
            <w:shd w:val="clear" w:color="auto" w:fill="1A3D25"/>
            <w:tcBorders>
              <w:top w:val="single" w:sz="4" w:color="1A3D25"/>
              <w:left w:val="single" w:sz="4" w:color="1A3D25"/>
              <w:bottom w:val="single" w:sz="4" w:color="1A3D25"/>
              <w:right w:val="single" w:sz="4" w:color="1A3D25"/>
            </w:tcBorders>
            <w:vAlign w:val="center"/>
          </w:tcPr>
          <w:p>
            <w:r>
              <w:rPr>
                <w:rFonts w:ascii="Aptos" w:hAnsi="Aptos" w:cs="Aptos" w:eastAsia="Aptos"/>
                <w:b/>
                <w:color w:val="FFFFFF"/>
                <w:sz w:val="20"/>
              </w:rPr>
              <w:t>M5</w:t>
            </w:r>
          </w:p>
        </w:tc>
        <w:tc>
          <w:tcPr>
            <w:tcW w:type="dxa" w:w="720"/>
            <w:shd w:val="clear" w:color="auto" w:fill="1A3D25"/>
            <w:tcBorders>
              <w:top w:val="single" w:sz="4" w:color="1A3D25"/>
              <w:left w:val="single" w:sz="4" w:color="1A3D25"/>
              <w:bottom w:val="single" w:sz="4" w:color="1A3D25"/>
              <w:right w:val="single" w:sz="4" w:color="1A3D25"/>
            </w:tcBorders>
            <w:vAlign w:val="center"/>
          </w:tcPr>
          <w:p>
            <w:r>
              <w:rPr>
                <w:rFonts w:ascii="Aptos" w:hAnsi="Aptos" w:cs="Aptos" w:eastAsia="Aptos"/>
                <w:b/>
                <w:color w:val="FFFFFF"/>
                <w:sz w:val="20"/>
              </w:rPr>
              <w:t>M6</w:t>
            </w:r>
          </w:p>
        </w:tc>
        <w:tc>
          <w:tcPr>
            <w:tcW w:type="dxa" w:w="720"/>
            <w:shd w:val="clear" w:color="auto" w:fill="1A3D25"/>
            <w:tcBorders>
              <w:top w:val="single" w:sz="4" w:color="1A3D25"/>
              <w:left w:val="single" w:sz="4" w:color="1A3D25"/>
              <w:bottom w:val="single" w:sz="4" w:color="1A3D25"/>
              <w:right w:val="single" w:sz="4" w:color="1A3D25"/>
            </w:tcBorders>
            <w:vAlign w:val="center"/>
          </w:tcPr>
          <w:p>
            <w:r>
              <w:rPr>
                <w:rFonts w:ascii="Aptos" w:hAnsi="Aptos" w:cs="Aptos" w:eastAsia="Aptos"/>
                <w:b/>
                <w:color w:val="FFFFFF"/>
                <w:sz w:val="20"/>
              </w:rPr>
              <w:t>M7</w:t>
            </w:r>
          </w:p>
        </w:tc>
        <w:tc>
          <w:tcPr>
            <w:tcW w:type="dxa" w:w="720"/>
            <w:shd w:val="clear" w:color="auto" w:fill="1A3D25"/>
            <w:tcBorders>
              <w:top w:val="single" w:sz="4" w:color="1A3D25"/>
              <w:left w:val="single" w:sz="4" w:color="1A3D25"/>
              <w:bottom w:val="single" w:sz="4" w:color="1A3D25"/>
              <w:right w:val="single" w:sz="4" w:color="1A3D25"/>
            </w:tcBorders>
            <w:vAlign w:val="center"/>
          </w:tcPr>
          <w:p>
            <w:r>
              <w:rPr>
                <w:rFonts w:ascii="Aptos" w:hAnsi="Aptos" w:cs="Aptos" w:eastAsia="Aptos"/>
                <w:b/>
                <w:color w:val="FFFFFF"/>
                <w:sz w:val="20"/>
              </w:rPr>
              <w:t>M8</w:t>
            </w:r>
          </w:p>
        </w:tc>
        <w:tc>
          <w:tcPr>
            <w:tcW w:type="dxa" w:w="720"/>
            <w:shd w:val="clear" w:color="auto" w:fill="1A3D25"/>
            <w:tcBorders>
              <w:top w:val="single" w:sz="4" w:color="1A3D25"/>
              <w:left w:val="single" w:sz="4" w:color="1A3D25"/>
              <w:bottom w:val="single" w:sz="4" w:color="1A3D25"/>
              <w:right w:val="single" w:sz="4" w:color="1A3D25"/>
            </w:tcBorders>
            <w:vAlign w:val="center"/>
          </w:tcPr>
          <w:p>
            <w:r>
              <w:rPr>
                <w:rFonts w:ascii="Aptos" w:hAnsi="Aptos" w:cs="Aptos" w:eastAsia="Aptos"/>
                <w:b/>
                <w:color w:val="FFFFFF"/>
                <w:sz w:val="20"/>
              </w:rPr>
              <w:t>M9</w:t>
            </w:r>
          </w:p>
        </w:tc>
        <w:tc>
          <w:tcPr>
            <w:tcW w:type="dxa" w:w="720"/>
            <w:shd w:val="clear" w:color="auto" w:fill="1A3D25"/>
            <w:tcBorders>
              <w:top w:val="single" w:sz="4" w:color="1A3D25"/>
              <w:left w:val="single" w:sz="4" w:color="1A3D25"/>
              <w:bottom w:val="single" w:sz="4" w:color="1A3D25"/>
              <w:right w:val="single" w:sz="4" w:color="1A3D25"/>
            </w:tcBorders>
            <w:vAlign w:val="center"/>
          </w:tcPr>
          <w:p>
            <w:r>
              <w:rPr>
                <w:rFonts w:ascii="Aptos" w:hAnsi="Aptos" w:cs="Aptos" w:eastAsia="Aptos"/>
                <w:b/>
                <w:color w:val="FFFFFF"/>
                <w:sz w:val="20"/>
              </w:rPr>
              <w:t>M10</w:t>
            </w:r>
          </w:p>
        </w:tc>
        <w:tc>
          <w:tcPr>
            <w:tcW w:type="dxa" w:w="720"/>
            <w:shd w:val="clear" w:color="auto" w:fill="1A3D25"/>
            <w:tcBorders>
              <w:top w:val="single" w:sz="4" w:color="1A3D25"/>
              <w:left w:val="single" w:sz="4" w:color="1A3D25"/>
              <w:bottom w:val="single" w:sz="4" w:color="1A3D25"/>
              <w:right w:val="single" w:sz="4" w:color="1A3D25"/>
            </w:tcBorders>
            <w:vAlign w:val="center"/>
          </w:tcPr>
          <w:p>
            <w:r>
              <w:rPr>
                <w:rFonts w:ascii="Aptos" w:hAnsi="Aptos" w:cs="Aptos" w:eastAsia="Aptos"/>
                <w:b/>
                <w:color w:val="FFFFFF"/>
                <w:sz w:val="20"/>
              </w:rPr>
              <w:t>M11</w:t>
            </w:r>
          </w:p>
        </w:tc>
        <w:tc>
          <w:tcPr>
            <w:tcW w:type="dxa" w:w="720"/>
            <w:shd w:val="clear" w:color="auto" w:fill="1A3D25"/>
            <w:tcBorders>
              <w:top w:val="single" w:sz="4" w:color="1A3D25"/>
              <w:left w:val="single" w:sz="4" w:color="1A3D25"/>
              <w:bottom w:val="single" w:sz="4" w:color="1A3D25"/>
              <w:right w:val="single" w:sz="4" w:color="1A3D25"/>
            </w:tcBorders>
            <w:vAlign w:val="center"/>
          </w:tcPr>
          <w:p>
            <w:r>
              <w:rPr>
                <w:rFonts w:ascii="Aptos" w:hAnsi="Aptos" w:cs="Aptos" w:eastAsia="Aptos"/>
                <w:b/>
                <w:color w:val="FFFFFF"/>
                <w:sz w:val="20"/>
              </w:rPr>
              <w:t>M12</w:t>
            </w:r>
          </w:p>
        </w:tc>
      </w:tr>
      <w:tr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A.1 · Onboarding AWS + GitHub Workmed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</w:tr>
      <w:tr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A.2 · Portal del Cliente · fase 1</w:t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</w:tr>
      <w:tr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A.3 · Quick fixes Agendamiento + Recaudación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</w:tr>
      <w:tr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A.4 · Recuperación soberanía RDS · contrato encargo Secall</w:t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</w:tr>
      <w:tr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B.6 · Marco gobernanza datos (DPO, stewards)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</w:tr>
      <w:tr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B.1 · Identity Service · diseño + worker</w:t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</w:tr>
      <w:tr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B.2 · FlowMed 2.0 · diseño arquitectónico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</w:tr>
      <w:tr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B.5 · Integración HubSpot ↔ FlowMed</w:t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</w:tr>
      <w:tr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B.2 · FlowMed 2.0 · primer release (intake)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</w:tr>
      <w:tr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B.3 · Pipeline digitalización acreditados PoC</w:t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</w:tr>
      <w:tr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B.4 · PoC pre-informe IA + cola dirigida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</w:tr>
      <w:tr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B.7 · Portal Cliente fase 2 · construcción</w:t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FFFFF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</w:tr>
      <w:tr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T1 · Agentes IA + Orquestador Transf. Digital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  <w:tc>
          <w:tcPr>
            <w:tcW w:type="dxa" w:w="720"/>
            <w:shd w:val="clear" w:color="auto" w:fill="F2FAF4"/>
            <w:tcBorders>
              <w:top w:val="single" w:sz="4" w:color="D8F3DC"/>
              <w:left w:val="single" w:sz="4" w:color="D8F3DC"/>
              <w:bottom w:val="single" w:sz="4" w:color="D8F3DC"/>
              <w:right w:val="single" w:sz="4" w:color="D8F3DC"/>
            </w:tcBorders>
          </w:tcPr>
          <w:p>
            <w:r>
              <w:rPr>
                <w:rFonts w:ascii="Aptos" w:hAnsi="Aptos" w:cs="Aptos" w:eastAsia="Aptos"/>
                <w:color w:val="1F2A24"/>
                <w:sz w:val="20"/>
              </w:rPr>
              <w:t>█</w:t>
            </w:r>
          </w:p>
        </w:tc>
      </w:tr>
    </w:tbl>
    <w:p/>
    <w:p>
      <w:pPr>
        <w:pStyle w:val="EMERCOMCaption"/>
      </w:pPr>
      <w:r>
        <w:t>Fase 1 (M1-M3) saneamiento + foundations · Fase 2 (M4-M6) plataforma propia + integraciones críticas · Fase 3 (M7-M12) expansión + visión TO-BE T1. Crecimiento volumétrico y modelos contractuales avanzados emergen como consecuencia natural del saneamiento, sin tracks propios.</w:t>
      </w:r>
    </w:p>
    <w:p>
      <w:pPr>
        <w:pStyle w:val="Heading1"/>
      </w:pPr>
      <w:r>
        <w:t>5. Acceso al diagnóstico interactivo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val="clear" w:color="auto" w:fill="EBF5F0"/>
            <w:tcBorders>
              <w:top w:val="single" w:sz="4" w:color="EBF5F0"/>
              <w:left w:val="single" w:sz="4" w:color="EBF5F0"/>
              <w:bottom w:val="single" w:sz="4" w:color="EBF5F0"/>
              <w:right w:val="single" w:sz="4" w:color="EBF5F0"/>
            </w:tcBorders>
          </w:tcPr>
          <w:p>
            <w:r>
              <w:rPr>
                <w:rFonts w:ascii="Aptos" w:hAnsi="Aptos" w:cs="Aptos" w:eastAsia="Aptos"/>
                <w:color w:val="1A3D25"/>
                <w:sz w:val="20"/>
              </w:rPr>
              <w:t>El detalle completo de los 7 procesos AS-IS, los 8 visores BPMN 2.0 interactivos, las 18 recomendaciones priorizadas, el roadmap detallado, los riesgos R1-R7 y las validaciones pendientes están en https://ada.emercom.cl/shared/clientes/workmed/diagnostico/ con autenticación por clave.</w:t>
            </w:r>
          </w:p>
        </w:tc>
      </w:tr>
    </w:tbl>
    <w:p/>
    <w:p/>
    <w:p>
      <w:pPr>
        <w:jc w:val="center"/>
        <w:pBdr>
          <w:top w:val="single" w:sz="6" w:space="4" w:color="52B788"/>
        </w:pBdr>
      </w:pPr>
      <w:r>
        <w:rPr>
          <w:rFonts w:ascii="Aptos" w:hAnsi="Aptos" w:cs="Aptos" w:eastAsia="Aptos"/>
          <w:i/>
          <w:color w:val="3D5A46"/>
          <w:sz w:val="18"/>
        </w:rPr>
        <w:t>Documento confidencial · EMERCOM SpA para Workmed · 2026-04-28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EMERCOMFooterTagline"/>
      <w:jc w:val="left"/>
      <w:pBdr>
        <w:top w:val="single" w:sz="6" w:space="4" w:color="52B788"/>
      </w:pBdr>
    </w:pPr>
    <w:r>
      <w:t>EMERCOM SpA  ·  emercom.cl  ·  contacto@emercom.cl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fixed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6480"/>
        </w:tcPr>
        <w:p>
          <w:pPr>
            <w:pStyle w:val="EMERCOMHeaderText"/>
            <w:jc w:val="left"/>
            <w:pBdr>
              <w:bottom w:val="single" w:sz="6" w:space="4" w:color="52B788"/>
              <w:top w:val="single" w:sz="6" w:space="4" w:color="52B788"/>
            </w:pBdr>
          </w:pPr>
          <w:r>
            <w:t>EMERCOM SpA  ·  Informe técnico  ·  Workmed</w:t>
          </w:r>
        </w:p>
      </w:tc>
      <w:tc>
        <w:tcPr>
          <w:tcW w:type="dxa" w:w="2880"/>
        </w:tcPr>
        <w:p>
          <w:pPr>
            <w:pStyle w:val="EMERCOMHeaderText"/>
            <w:jc w:val="right"/>
            <w:pBdr>
              <w:bottom w:val="single" w:sz="6" w:space="4" w:color="52B788"/>
              <w:top w:val="single" w:sz="6" w:space="4" w:color="52B788"/>
            </w:pBdr>
          </w:pPr>
          <w:r>
            <w:t>RESUMEN EJECUTIVO · v3.0  ·  2026-04-28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12" w:lineRule="auto"/>
      <w:jc w:val="both"/>
    </w:pPr>
    <w:rPr>
      <w:rFonts w:ascii="Aptos" w:hAnsi="Aptos" w:cs="Aptos" w:eastAsia="Aptos"/>
      <w:color w:val="1F2A2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0" w:after="200"/>
      <w:jc w:val="left"/>
      <w:outlineLvl w:val="0"/>
      <w:pBdr>
        <w:bottom w:val="single" w:sz="12" w:space="4" w:color="52B788"/>
      </w:pBdr>
    </w:pPr>
    <w:rPr>
      <w:rFonts w:asciiTheme="majorHAnsi" w:eastAsiaTheme="majorEastAsia" w:hAnsiTheme="majorHAnsi" w:cstheme="majorBidi" w:ascii="Aptos Display" w:hAnsi="Aptos Display" w:cs="Aptos Display" w:eastAsia="Aptos Display"/>
      <w:b/>
      <w:bCs/>
      <w:color w:val="1A3D25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80"/>
      <w:jc w:val="left"/>
      <w:outlineLvl w:val="1"/>
    </w:pPr>
    <w:rPr>
      <w:rFonts w:asciiTheme="majorHAnsi" w:eastAsiaTheme="majorEastAsia" w:hAnsiTheme="majorHAnsi" w:cstheme="majorBidi" w:ascii="Aptos Display" w:hAnsi="Aptos Display" w:cs="Aptos Display" w:eastAsia="Aptos Display"/>
      <w:b/>
      <w:bCs/>
      <w:color w:val="2D614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EMERCOMTitle">
    <w:name w:val="EMERCOM Title"/>
    <w:basedOn w:val="Normal"/>
    <w:pPr>
      <w:spacing w:before="0" w:after="160"/>
      <w:jc w:val="center"/>
    </w:pPr>
    <w:rPr>
      <w:rFonts w:ascii="Aptos Display" w:hAnsi="Aptos Display" w:cs="Aptos Display" w:eastAsia="Aptos Display"/>
      <w:b/>
      <w:color w:val="1A3D25"/>
      <w:sz w:val="44"/>
    </w:rPr>
  </w:style>
  <w:style w:type="paragraph" w:customStyle="1" w:styleId="EMERCOMSubtitle">
    <w:name w:val="EMERCOM Subtitle"/>
    <w:basedOn w:val="Normal"/>
    <w:pPr>
      <w:spacing w:after="400"/>
      <w:jc w:val="center"/>
    </w:pPr>
    <w:rPr>
      <w:rFonts w:ascii="Aptos Display" w:hAnsi="Aptos Display" w:cs="Aptos Display" w:eastAsia="Aptos Display"/>
      <w:i/>
      <w:color w:val="52B788"/>
      <w:sz w:val="24"/>
    </w:rPr>
  </w:style>
  <w:style w:type="paragraph" w:customStyle="1" w:styleId="EMERCOMSubsection">
    <w:name w:val="EMERCOM Subsection"/>
    <w:basedOn w:val="Normal"/>
    <w:pPr>
      <w:spacing w:before="200" w:after="40"/>
      <w:jc w:val="left"/>
    </w:pPr>
    <w:rPr>
      <w:rFonts w:ascii="Aptos" w:hAnsi="Aptos" w:cs="Aptos" w:eastAsia="Aptos"/>
      <w:b/>
      <w:color w:val="52B788"/>
      <w:sz w:val="18"/>
    </w:rPr>
  </w:style>
  <w:style w:type="paragraph" w:customStyle="1" w:styleId="EMERCOMHighlightTitle">
    <w:name w:val="EMERCOM Highlight Title"/>
    <w:basedOn w:val="Normal"/>
    <w:pPr>
      <w:spacing w:after="40"/>
      <w:jc w:val="left"/>
    </w:pPr>
    <w:rPr>
      <w:rFonts w:ascii="Aptos Display" w:hAnsi="Aptos Display" w:cs="Aptos Display" w:eastAsia="Aptos Display"/>
      <w:b/>
      <w:color w:val="1A3D25"/>
      <w:sz w:val="24"/>
    </w:rPr>
  </w:style>
  <w:style w:type="paragraph" w:customStyle="1" w:styleId="EMERCOMHighlightBody">
    <w:name w:val="EMERCOM Highlight Body"/>
    <w:basedOn w:val="Normal"/>
    <w:pPr>
      <w:spacing w:after="40"/>
      <w:jc w:val="left"/>
    </w:pPr>
    <w:rPr>
      <w:rFonts w:ascii="Aptos" w:hAnsi="Aptos" w:cs="Aptos" w:eastAsia="Aptos"/>
      <w:color w:val="3D5A46"/>
      <w:sz w:val="21"/>
    </w:rPr>
  </w:style>
  <w:style w:type="paragraph" w:customStyle="1" w:styleId="EMERCOMCaption">
    <w:name w:val="EMERCOM Caption"/>
    <w:basedOn w:val="Normal"/>
    <w:pPr>
      <w:spacing w:after="80"/>
    </w:pPr>
    <w:rPr>
      <w:rFonts w:ascii="Aptos" w:hAnsi="Aptos" w:cs="Aptos" w:eastAsia="Aptos"/>
      <w:i/>
      <w:color w:val="3D5A46"/>
      <w:sz w:val="18"/>
    </w:rPr>
  </w:style>
  <w:style w:type="paragraph" w:customStyle="1" w:styleId="EMERCOMCode">
    <w:name w:val="EMERCOM Code"/>
    <w:basedOn w:val="Normal"/>
    <w:pPr>
      <w:spacing w:after="80"/>
      <w:jc w:val="left"/>
    </w:pPr>
    <w:rPr>
      <w:rFonts w:ascii="Courier New" w:hAnsi="Courier New" w:cs="Courier New" w:eastAsia="Courier New"/>
      <w:color w:val="1A3D25"/>
      <w:sz w:val="19"/>
    </w:rPr>
  </w:style>
  <w:style w:type="paragraph" w:customStyle="1" w:styleId="EMERCOMHeaderText">
    <w:name w:val="EMERCOM Header Text"/>
    <w:basedOn w:val="Normal"/>
    <w:pPr>
      <w:spacing w:after="40" w:before="0"/>
    </w:pPr>
    <w:rPr>
      <w:rFonts w:ascii="Courier New" w:hAnsi="Courier New" w:cs="Courier New" w:eastAsia="Courier New"/>
      <w:b/>
      <w:color w:val="3D5A46"/>
      <w:sz w:val="16"/>
    </w:rPr>
  </w:style>
  <w:style w:type="paragraph" w:customStyle="1" w:styleId="EMERCOMFooterTagline">
    <w:name w:val="EMERCOM Footer Tagline"/>
    <w:basedOn w:val="Normal"/>
    <w:pPr>
      <w:spacing w:after="0" w:before="40"/>
    </w:pPr>
    <w:rPr>
      <w:rFonts w:ascii="Aptos" w:hAnsi="Aptos" w:cs="Aptos" w:eastAsia="Aptos"/>
      <w:i/>
      <w:color w:val="3D5A4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